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74C1D753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E01144">
        <w:rPr>
          <w:b/>
          <w:lang w:val="en-US"/>
        </w:rPr>
        <w:t>GPP TSG-RAN WG1  AH 1801</w:t>
      </w:r>
      <w:r w:rsidRPr="00067C61">
        <w:rPr>
          <w:b/>
          <w:lang w:val="en-US"/>
        </w:rPr>
        <w:tab/>
      </w:r>
      <w:r w:rsidR="008E389C">
        <w:rPr>
          <w:b/>
          <w:lang w:val="en-US"/>
        </w:rPr>
        <w:t>R1-1800795</w:t>
      </w:r>
    </w:p>
    <w:p w14:paraId="2E655557" w14:textId="1C1C76BE" w:rsidR="00C651F8" w:rsidRPr="00067C61" w:rsidRDefault="00E01144" w:rsidP="00C651F8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Vancouver, Canada</w:t>
      </w:r>
      <w:r w:rsidR="00C651F8">
        <w:rPr>
          <w:b/>
          <w:lang w:val="en-US"/>
        </w:rPr>
        <w:t xml:space="preserve">, </w:t>
      </w:r>
      <w:r>
        <w:rPr>
          <w:b/>
          <w:lang w:val="en-US"/>
        </w:rPr>
        <w:t>January 22</w:t>
      </w:r>
      <w:r w:rsidRPr="00E01144">
        <w:rPr>
          <w:b/>
          <w:vertAlign w:val="superscript"/>
          <w:lang w:val="en-US"/>
        </w:rPr>
        <w:t>nd</w:t>
      </w:r>
      <w:r>
        <w:rPr>
          <w:b/>
          <w:lang w:val="en-US"/>
        </w:rPr>
        <w:t xml:space="preserve"> – 26</w:t>
      </w:r>
      <w:r w:rsidRPr="00E01144">
        <w:rPr>
          <w:b/>
          <w:vertAlign w:val="superscript"/>
          <w:lang w:val="en-US"/>
        </w:rPr>
        <w:t>th</w:t>
      </w:r>
      <w:r>
        <w:rPr>
          <w:b/>
          <w:lang w:val="en-US"/>
        </w:rPr>
        <w:t>, 2018</w:t>
      </w:r>
    </w:p>
    <w:p w14:paraId="561D9511" w14:textId="77777777" w:rsidR="00067C61" w:rsidRPr="00C651F8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2F298552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3E777B">
        <w:rPr>
          <w:b/>
        </w:rPr>
        <w:t>On VRB-to-PRB mapping</w:t>
      </w:r>
    </w:p>
    <w:p w14:paraId="0D32E023" w14:textId="744CBC1A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C651F8">
        <w:rPr>
          <w:b/>
        </w:rPr>
        <w:t>7.3.4</w:t>
      </w:r>
      <w:r w:rsidR="008E389C">
        <w:rPr>
          <w:b/>
        </w:rPr>
        <w:t>.1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6721879A" w14:textId="035A129D" w:rsidR="00E01144" w:rsidRPr="00852376" w:rsidRDefault="007E0AAB" w:rsidP="00E01144">
      <w:pPr>
        <w:pStyle w:val="Heading1"/>
      </w:pPr>
      <w:bookmarkStart w:id="1" w:name="_Ref178064866"/>
      <w:r>
        <w:t>Discus</w:t>
      </w:r>
      <w:r w:rsidR="00502C3A">
        <w:t>s</w:t>
      </w:r>
      <w:r>
        <w:t>ion</w:t>
      </w:r>
    </w:p>
    <w:p w14:paraId="69B00E46" w14:textId="469FEDCB" w:rsidR="00E01144" w:rsidRDefault="00E01144" w:rsidP="00E01144">
      <w:r>
        <w:t xml:space="preserve">Mapping from virtual to physical resource blocks in currently captured in TS38.211 </w:t>
      </w:r>
      <w:r w:rsidR="0080058C">
        <w:t>Section 7.3.1.6 a</w:t>
      </w:r>
      <w:r>
        <w:t>ccording to below.</w:t>
      </w:r>
    </w:p>
    <w:p w14:paraId="411485C1" w14:textId="77777777" w:rsidR="00813B13" w:rsidRDefault="00813B13" w:rsidP="00E01144"/>
    <w:p w14:paraId="1D92CC05" w14:textId="7BCD2198" w:rsidR="00E01144" w:rsidRPr="00E01144" w:rsidRDefault="00E01144" w:rsidP="00E01144">
      <w:r>
        <w:t xml:space="preserve">- - - - - - - - - - - - - - </w:t>
      </w:r>
      <w:r w:rsidR="00572381">
        <w:t xml:space="preserve">- - - - - - - </w:t>
      </w:r>
      <w:r>
        <w:t>- - - From TS 38.211 - - - - - - - -</w:t>
      </w:r>
      <w:r w:rsidR="00572381">
        <w:t xml:space="preserve"> - - - - - - - - - - </w:t>
      </w:r>
      <w:r>
        <w:t xml:space="preserve"> - - - - - - - - - - - - - - - - -</w:t>
      </w:r>
    </w:p>
    <w:p w14:paraId="744D19C0" w14:textId="539325B5" w:rsidR="00813B13" w:rsidRPr="0080058C" w:rsidRDefault="0080058C" w:rsidP="00E01144">
      <w:pPr>
        <w:rPr>
          <w:rFonts w:ascii="Arial" w:hAnsi="Arial" w:cs="Arial"/>
          <w:color w:val="2F5496" w:themeColor="accent1" w:themeShade="BF"/>
          <w:sz w:val="22"/>
        </w:rPr>
      </w:pPr>
      <w:r w:rsidRPr="0080058C">
        <w:rPr>
          <w:rFonts w:ascii="Arial" w:hAnsi="Arial" w:cs="Arial"/>
          <w:color w:val="2F5496" w:themeColor="accent1" w:themeShade="BF"/>
          <w:sz w:val="22"/>
        </w:rPr>
        <w:t>7.3.1.6</w:t>
      </w:r>
      <w:r w:rsidRPr="0080058C">
        <w:rPr>
          <w:rFonts w:ascii="Arial" w:hAnsi="Arial" w:cs="Arial"/>
          <w:color w:val="2F5496" w:themeColor="accent1" w:themeShade="BF"/>
          <w:sz w:val="22"/>
        </w:rPr>
        <w:tab/>
      </w:r>
      <w:r w:rsidRPr="0080058C">
        <w:rPr>
          <w:rFonts w:ascii="Arial" w:hAnsi="Arial" w:cs="Arial"/>
          <w:color w:val="2F5496" w:themeColor="accent1" w:themeShade="BF"/>
          <w:sz w:val="22"/>
        </w:rPr>
        <w:tab/>
      </w:r>
      <w:r w:rsidRPr="0080058C">
        <w:rPr>
          <w:rFonts w:ascii="Arial" w:hAnsi="Arial" w:cs="Arial"/>
          <w:color w:val="2F5496" w:themeColor="accent1" w:themeShade="BF"/>
          <w:sz w:val="22"/>
        </w:rPr>
        <w:t>Mapping from virtual to physical resource blocks</w:t>
      </w:r>
    </w:p>
    <w:p w14:paraId="2A13FC47" w14:textId="4EF3A6A6" w:rsidR="00E01144" w:rsidRPr="00E01144" w:rsidRDefault="00E01144" w:rsidP="00E01144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The UE shall assume the virtual resource blocks are mapped to physical resource blocks according to the indicated mapping scheme, non-interleaved or interleaved mapping.</w:t>
      </w:r>
    </w:p>
    <w:p w14:paraId="5BC203DC" w14:textId="77777777" w:rsidR="00E01144" w:rsidRPr="00E01144" w:rsidRDefault="00E01144" w:rsidP="00E01144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 xml:space="preserve">For non-interleaved VRB-to-PRB mapping, virtual resource block </w:t>
      </w:r>
      <w:r w:rsidRPr="00E01144">
        <w:rPr>
          <w:color w:val="2F5496" w:themeColor="accent1" w:themeShade="BF"/>
          <w:position w:val="-6"/>
        </w:rPr>
        <w:object w:dxaOrig="180" w:dyaOrig="200" w14:anchorId="033C8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14" o:title=""/>
          </v:shape>
          <o:OLEObject Type="Embed" ProgID="Equation.3" ShapeID="_x0000_i1025" DrawAspect="Content" ObjectID="_1577294058" r:id="rId15"/>
        </w:object>
      </w:r>
      <w:r w:rsidRPr="00E01144">
        <w:rPr>
          <w:color w:val="2F5496" w:themeColor="accent1" w:themeShade="BF"/>
        </w:rPr>
        <w:t xml:space="preserve"> is mapped to physical resource block </w:t>
      </w:r>
      <w:r w:rsidRPr="00E01144">
        <w:rPr>
          <w:color w:val="2F5496" w:themeColor="accent1" w:themeShade="BF"/>
          <w:position w:val="-6"/>
        </w:rPr>
        <w:object w:dxaOrig="180" w:dyaOrig="200" w14:anchorId="440A34F0">
          <v:shape id="_x0000_i1026" type="#_x0000_t75" style="width:9pt;height:9.75pt" o:ole="">
            <v:imagedata r:id="rId14" o:title=""/>
          </v:shape>
          <o:OLEObject Type="Embed" ProgID="Equation.3" ShapeID="_x0000_i1026" DrawAspect="Content" ObjectID="_1577294059" r:id="rId16"/>
        </w:object>
      </w:r>
      <w:r w:rsidRPr="00E01144">
        <w:rPr>
          <w:color w:val="2F5496" w:themeColor="accent1" w:themeShade="BF"/>
        </w:rPr>
        <w:t>.</w:t>
      </w:r>
    </w:p>
    <w:p w14:paraId="3D1B077B" w14:textId="77777777" w:rsidR="00E01144" w:rsidRPr="00E01144" w:rsidRDefault="00E01144" w:rsidP="00E01144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For interleaved VRB-to-PRB mapping, the mapping process is defined in terms of resource block bundles:</w:t>
      </w:r>
    </w:p>
    <w:p w14:paraId="50FADD7D" w14:textId="77777777" w:rsidR="00E01144" w:rsidRPr="00E01144" w:rsidRDefault="00E01144" w:rsidP="00E01144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-</w:t>
      </w:r>
      <w:r w:rsidRPr="00E01144">
        <w:rPr>
          <w:color w:val="2F5496" w:themeColor="accent1" w:themeShade="BF"/>
        </w:rPr>
        <w:tab/>
        <w:t xml:space="preserve">Resource block bundle </w:t>
      </w:r>
      <w:r w:rsidRPr="00E01144">
        <w:rPr>
          <w:color w:val="2F5496" w:themeColor="accent1" w:themeShade="BF"/>
          <w:position w:val="-6"/>
        </w:rPr>
        <w:object w:dxaOrig="139" w:dyaOrig="240" w14:anchorId="569DB614">
          <v:shape id="_x0000_i1027" type="#_x0000_t75" style="width:6.75pt;height:12pt" o:ole="">
            <v:imagedata r:id="rId17" o:title=""/>
          </v:shape>
          <o:OLEObject Type="Embed" ProgID="Equation.3" ShapeID="_x0000_i1027" DrawAspect="Content" ObjectID="_1577294060" r:id="rId18"/>
        </w:object>
      </w:r>
      <w:r w:rsidRPr="00E01144">
        <w:rPr>
          <w:color w:val="2F5496" w:themeColor="accent1" w:themeShade="BF"/>
        </w:rPr>
        <w:t xml:space="preserve"> is defined as resource blocks </w:t>
      </w:r>
      <w:r w:rsidRPr="00E01144">
        <w:rPr>
          <w:color w:val="2F5496" w:themeColor="accent1" w:themeShade="BF"/>
          <w:position w:val="-10"/>
        </w:rPr>
        <w:object w:dxaOrig="1820" w:dyaOrig="300" w14:anchorId="7B5EF467">
          <v:shape id="_x0000_i1028" type="#_x0000_t75" style="width:90.75pt;height:15pt" o:ole="">
            <v:imagedata r:id="rId19" o:title=""/>
          </v:shape>
          <o:OLEObject Type="Embed" ProgID="Equation.3" ShapeID="_x0000_i1028" DrawAspect="Content" ObjectID="_1577294061" r:id="rId20"/>
        </w:object>
      </w:r>
      <w:r w:rsidRPr="00E01144">
        <w:rPr>
          <w:color w:val="2F5496" w:themeColor="accent1" w:themeShade="BF"/>
        </w:rPr>
        <w:t xml:space="preserve"> where </w:t>
      </w:r>
      <w:r w:rsidRPr="00E01144">
        <w:rPr>
          <w:color w:val="2F5496" w:themeColor="accent1" w:themeShade="BF"/>
          <w:position w:val="-4"/>
        </w:rPr>
        <w:object w:dxaOrig="200" w:dyaOrig="220" w14:anchorId="04D31D24">
          <v:shape id="_x0000_i1029" type="#_x0000_t75" style="width:9.75pt;height:11.25pt" o:ole="">
            <v:imagedata r:id="rId21" o:title=""/>
          </v:shape>
          <o:OLEObject Type="Embed" ProgID="Equation.3" ShapeID="_x0000_i1029" DrawAspect="Content" ObjectID="_1577294062" r:id="rId22"/>
        </w:object>
      </w:r>
      <w:r w:rsidRPr="00E01144">
        <w:rPr>
          <w:color w:val="2F5496" w:themeColor="accent1" w:themeShade="BF"/>
        </w:rPr>
        <w:t xml:space="preserve"> is the bundle size provided by the higher-layer parameter </w:t>
      </w:r>
      <w:r w:rsidRPr="00E01144">
        <w:rPr>
          <w:i/>
          <w:color w:val="2F5496" w:themeColor="accent1" w:themeShade="BF"/>
        </w:rPr>
        <w:t>VRB-to-PRB-interleaver</w:t>
      </w:r>
    </w:p>
    <w:p w14:paraId="430FDC27" w14:textId="1F79F9E8" w:rsidR="00E01144" w:rsidRPr="00E01144" w:rsidRDefault="00E01144" w:rsidP="00E01144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-</w:t>
      </w:r>
      <w:r w:rsidRPr="00E01144">
        <w:rPr>
          <w:color w:val="2F5496" w:themeColor="accent1" w:themeShade="BF"/>
        </w:rPr>
        <w:tab/>
      </w:r>
      <w:r w:rsidR="003B08AC">
        <w:rPr>
          <w:color w:val="2F5496" w:themeColor="accent1" w:themeShade="BF"/>
        </w:rPr>
        <w:t xml:space="preserve">For </w:t>
      </w:r>
      <w:r w:rsidRPr="00E01144">
        <w:rPr>
          <w:color w:val="2F5496" w:themeColor="accent1" w:themeShade="BF"/>
        </w:rPr>
        <w:t xml:space="preserve">Virtual resource block bundle </w:t>
      </w:r>
      <w:r w:rsidRPr="00E01144">
        <w:rPr>
          <w:color w:val="2F5496" w:themeColor="accent1" w:themeShade="BF"/>
          <w:position w:val="-10"/>
        </w:rPr>
        <w:object w:dxaOrig="180" w:dyaOrig="279" w14:anchorId="32119C29">
          <v:shape id="_x0000_i1030" type="#_x0000_t75" style="width:9pt;height:14.25pt" o:ole="">
            <v:imagedata r:id="rId23" o:title=""/>
          </v:shape>
          <o:OLEObject Type="Embed" ProgID="Equation.3" ShapeID="_x0000_i1030" DrawAspect="Content" ObjectID="_1577294063" r:id="rId24"/>
        </w:object>
      </w:r>
      <w:r w:rsidRPr="00E01144">
        <w:rPr>
          <w:color w:val="2F5496" w:themeColor="accent1" w:themeShade="BF"/>
        </w:rPr>
        <w:t xml:space="preserve"> is mapped to physical resource block bundle </w:t>
      </w:r>
      <w:r w:rsidRPr="00E01144">
        <w:rPr>
          <w:color w:val="2F5496" w:themeColor="accent1" w:themeShade="BF"/>
          <w:position w:val="-10"/>
        </w:rPr>
        <w:object w:dxaOrig="440" w:dyaOrig="300" w14:anchorId="68A09F91">
          <v:shape id="_x0000_i1031" type="#_x0000_t75" style="width:21.75pt;height:15pt" o:ole="">
            <v:imagedata r:id="rId25" o:title=""/>
          </v:shape>
          <o:OLEObject Type="Embed" ProgID="Equation.3" ShapeID="_x0000_i1031" DrawAspect="Content" ObjectID="_1577294064" r:id="rId26"/>
        </w:object>
      </w:r>
      <w:r w:rsidRPr="00E01144">
        <w:rPr>
          <w:color w:val="2F5496" w:themeColor="accent1" w:themeShade="BF"/>
        </w:rPr>
        <w:t xml:space="preserve"> where </w:t>
      </w:r>
    </w:p>
    <w:p w14:paraId="527D928B" w14:textId="069FB581" w:rsidR="00E01144" w:rsidRPr="00E01144" w:rsidRDefault="003B08AC" w:rsidP="00E01144">
      <w:pPr>
        <w:pStyle w:val="EQ"/>
        <w:jc w:val="center"/>
        <w:rPr>
          <w:color w:val="2F5496" w:themeColor="accent1" w:themeShade="BF"/>
        </w:rPr>
      </w:pPr>
      <w:r w:rsidRPr="00E01144">
        <w:rPr>
          <w:color w:val="2F5496" w:themeColor="accent1" w:themeShade="BF"/>
          <w:position w:val="-88"/>
        </w:rPr>
        <w:object w:dxaOrig="1560" w:dyaOrig="1860" w14:anchorId="4395F716">
          <v:shape id="_x0000_i1032" type="#_x0000_t75" style="width:78pt;height:93pt" o:ole="">
            <v:imagedata r:id="rId27" o:title=""/>
          </v:shape>
          <o:OLEObject Type="Embed" ProgID="Equation.3" ShapeID="_x0000_i1032" DrawAspect="Content" ObjectID="_1577294065" r:id="rId28"/>
        </w:object>
      </w:r>
    </w:p>
    <w:p w14:paraId="7AF71D64" w14:textId="77777777" w:rsidR="00075026" w:rsidRDefault="00E01144" w:rsidP="00075026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ab/>
        <w:t xml:space="preserve">with </w:t>
      </w:r>
      <w:r w:rsidRPr="00E01144">
        <w:rPr>
          <w:color w:val="2F5496" w:themeColor="accent1" w:themeShade="BF"/>
          <w:position w:val="-12"/>
        </w:rPr>
        <w:object w:dxaOrig="620" w:dyaOrig="360" w14:anchorId="794FC4C5">
          <v:shape id="_x0000_i1033" type="#_x0000_t75" style="width:30.75pt;height:18pt" o:ole="">
            <v:imagedata r:id="rId29" o:title=""/>
          </v:shape>
          <o:OLEObject Type="Embed" ProgID="Equation.3" ShapeID="_x0000_i1033" DrawAspect="Content" ObjectID="_1577294066" r:id="rId30"/>
        </w:object>
      </w:r>
      <w:r w:rsidRPr="00E01144">
        <w:rPr>
          <w:color w:val="2F5496" w:themeColor="accent1" w:themeShade="BF"/>
        </w:rPr>
        <w:t xml:space="preserve"> representing the size of the carrier bandwidth part in which the PDSCH is transmitted.</w:t>
      </w:r>
    </w:p>
    <w:p w14:paraId="0AF072F7" w14:textId="2C2AA48A" w:rsidR="00075026" w:rsidRPr="00075026" w:rsidRDefault="00075026" w:rsidP="00075026">
      <w:pPr>
        <w:pStyle w:val="B1"/>
        <w:ind w:left="0" w:firstLine="0"/>
        <w:rPr>
          <w:color w:val="2F5496" w:themeColor="accent1" w:themeShade="BF"/>
        </w:rPr>
      </w:pPr>
      <w:r>
        <w:t>- - - - - - - - - - - - - - - - - - - - - - - - - - - - - - - - - - - - - - - - - - - - - - - - - - - - - -  - - - - - - - - - - - - - - - - -</w:t>
      </w:r>
    </w:p>
    <w:p w14:paraId="12EA53B5" w14:textId="2FE46A20" w:rsidR="00075026" w:rsidRPr="00075026" w:rsidRDefault="00075026" w:rsidP="00075026"/>
    <w:p w14:paraId="645B258F" w14:textId="1B81255B" w:rsidR="00E01144" w:rsidRPr="00852376" w:rsidRDefault="00E01144" w:rsidP="00E01144">
      <w:pPr>
        <w:rPr>
          <w:color w:val="000000" w:themeColor="text1"/>
        </w:rPr>
      </w:pPr>
      <w:r>
        <w:t xml:space="preserve">The definition of a resource block bundle </w:t>
      </w:r>
      <w:r w:rsidRPr="00E01144">
        <w:rPr>
          <w:color w:val="000000" w:themeColor="text1"/>
        </w:rPr>
        <w:t xml:space="preserve">as resource blocks </w:t>
      </w:r>
      <w:r w:rsidRPr="00852376">
        <w:rPr>
          <w:color w:val="000000" w:themeColor="text1"/>
          <w:position w:val="-10"/>
        </w:rPr>
        <w:object w:dxaOrig="1820" w:dyaOrig="300" w14:anchorId="03ED0DCA">
          <v:shape id="_x0000_i1034" type="#_x0000_t75" style="width:90.75pt;height:15pt" o:ole="">
            <v:imagedata r:id="rId19" o:title=""/>
          </v:shape>
          <o:OLEObject Type="Embed" ProgID="Equation.3" ShapeID="_x0000_i1034" DrawAspect="Content" ObjectID="_1577294067" r:id="rId31"/>
        </w:object>
      </w:r>
      <w:r w:rsidRPr="00852376">
        <w:rPr>
          <w:color w:val="000000" w:themeColor="text1"/>
        </w:rPr>
        <w:t xml:space="preserve"> </w:t>
      </w:r>
      <w:r w:rsidR="00075026">
        <w:rPr>
          <w:color w:val="000000" w:themeColor="text1"/>
        </w:rPr>
        <w:t xml:space="preserve">inherently </w:t>
      </w:r>
      <w:r w:rsidRPr="00852376">
        <w:rPr>
          <w:color w:val="000000" w:themeColor="text1"/>
        </w:rPr>
        <w:t xml:space="preserve">assumes </w:t>
      </w:r>
      <w:r w:rsidR="00075026">
        <w:rPr>
          <w:color w:val="000000" w:themeColor="text1"/>
        </w:rPr>
        <w:t xml:space="preserve">that </w:t>
      </w:r>
      <w:r w:rsidRPr="00852376">
        <w:rPr>
          <w:color w:val="000000" w:themeColor="text1"/>
        </w:rPr>
        <w:t xml:space="preserve">the number of resource blocks in a bandwidth part should be a multiple of </w:t>
      </w:r>
      <w:r w:rsidRPr="00075026">
        <w:rPr>
          <w:i/>
          <w:color w:val="000000" w:themeColor="text1"/>
        </w:rPr>
        <w:t>L</w:t>
      </w:r>
      <w:r w:rsidRPr="00852376">
        <w:rPr>
          <w:color w:val="000000" w:themeColor="text1"/>
        </w:rPr>
        <w:t xml:space="preserve">. </w:t>
      </w:r>
      <w:r w:rsidR="00813B13">
        <w:rPr>
          <w:color w:val="000000" w:themeColor="text1"/>
        </w:rPr>
        <w:t>Furthermore,</w:t>
      </w:r>
      <w:r w:rsidR="00075026">
        <w:rPr>
          <w:color w:val="000000" w:themeColor="text1"/>
        </w:rPr>
        <w:t xml:space="preserve"> the interleaving procedure abo</w:t>
      </w:r>
      <w:r w:rsidR="00813B13">
        <w:rPr>
          <w:color w:val="000000" w:themeColor="text1"/>
        </w:rPr>
        <w:t>ve assumes that the number of resource bundles is a multiple of R</w:t>
      </w:r>
      <w:r w:rsidR="00075026">
        <w:rPr>
          <w:color w:val="000000" w:themeColor="text1"/>
        </w:rPr>
        <w:t xml:space="preserve"> or the variable j will exceed the number of resource bundles</w:t>
      </w:r>
      <w:r w:rsidR="0080058C">
        <w:rPr>
          <w:color w:val="000000" w:themeColor="text1"/>
        </w:rPr>
        <w:t xml:space="preserve">. As a </w:t>
      </w:r>
      <w:r w:rsidR="00813B13">
        <w:rPr>
          <w:color w:val="000000" w:themeColor="text1"/>
        </w:rPr>
        <w:t xml:space="preserve"> consequence, the above procedure assumes a BWP size that is a multiple of R*L. </w:t>
      </w:r>
      <w:r w:rsidRPr="00852376">
        <w:rPr>
          <w:color w:val="000000" w:themeColor="text1"/>
        </w:rPr>
        <w:t>However, there is currently no such constr</w:t>
      </w:r>
      <w:r w:rsidR="00075026">
        <w:rPr>
          <w:color w:val="000000" w:themeColor="text1"/>
        </w:rPr>
        <w:t>aint on the BWP size specified.</w:t>
      </w:r>
    </w:p>
    <w:p w14:paraId="78313BAE" w14:textId="03C8586C" w:rsidR="00E01144" w:rsidRDefault="0080058C" w:rsidP="00E01144">
      <w:pPr>
        <w:rPr>
          <w:color w:val="000000" w:themeColor="text1"/>
        </w:rPr>
      </w:pPr>
      <w:r>
        <w:rPr>
          <w:color w:val="000000" w:themeColor="text1"/>
        </w:rPr>
        <w:t>The first “problem”, i.e. that</w:t>
      </w:r>
      <w:r w:rsidR="00587727">
        <w:rPr>
          <w:color w:val="000000" w:themeColor="text1"/>
        </w:rPr>
        <w:t xml:space="preserve"> the BWP bandwidth is not a multiple of L can be handled </w:t>
      </w:r>
      <w:r w:rsidR="00075026">
        <w:rPr>
          <w:color w:val="000000" w:themeColor="text1"/>
        </w:rPr>
        <w:t xml:space="preserve">by, if necessary, </w:t>
      </w:r>
      <w:r w:rsidR="00587727">
        <w:rPr>
          <w:color w:val="000000" w:themeColor="text1"/>
        </w:rPr>
        <w:t>h</w:t>
      </w:r>
      <w:r w:rsidR="00075026">
        <w:rPr>
          <w:color w:val="000000" w:themeColor="text1"/>
        </w:rPr>
        <w:t>a</w:t>
      </w:r>
      <w:r w:rsidR="00587727">
        <w:rPr>
          <w:color w:val="000000" w:themeColor="text1"/>
        </w:rPr>
        <w:t xml:space="preserve">ving a reduced size of the last resource bundle. </w:t>
      </w:r>
      <w:r w:rsidR="00075026">
        <w:rPr>
          <w:color w:val="000000" w:themeColor="text1"/>
        </w:rPr>
        <w:t xml:space="preserve">This is enabled by replacing the expression </w:t>
      </w:r>
    </w:p>
    <w:p w14:paraId="715DC53E" w14:textId="7A7F060F" w:rsidR="00587727" w:rsidRDefault="00587727" w:rsidP="00075026">
      <w:pPr>
        <w:pStyle w:val="B1"/>
        <w:ind w:left="284" w:firstLine="0"/>
        <w:jc w:val="center"/>
        <w:rPr>
          <w:color w:val="2F5496" w:themeColor="accent1" w:themeShade="BF"/>
        </w:rPr>
      </w:pPr>
      <w:r w:rsidRPr="00E01144">
        <w:rPr>
          <w:color w:val="2F5496" w:themeColor="accent1" w:themeShade="BF"/>
          <w:position w:val="-10"/>
        </w:rPr>
        <w:object w:dxaOrig="1820" w:dyaOrig="300" w14:anchorId="045038C0">
          <v:shape id="_x0000_i1035" type="#_x0000_t75" style="width:90.75pt;height:15pt" o:ole="">
            <v:imagedata r:id="rId19" o:title=""/>
          </v:shape>
          <o:OLEObject Type="Embed" ProgID="Equation.3" ShapeID="_x0000_i1035" DrawAspect="Content" ObjectID="_1577294068" r:id="rId32"/>
        </w:object>
      </w:r>
    </w:p>
    <w:p w14:paraId="761859DE" w14:textId="3AD10668" w:rsidR="00075026" w:rsidRPr="00075026" w:rsidRDefault="00075026" w:rsidP="00075026">
      <w:pPr>
        <w:pStyle w:val="B1"/>
        <w:ind w:left="0" w:firstLine="0"/>
      </w:pPr>
      <w:r w:rsidRPr="00075026">
        <w:t>with</w:t>
      </w:r>
    </w:p>
    <w:bookmarkStart w:id="2" w:name="_Hlk503532664"/>
    <w:p w14:paraId="1128373B" w14:textId="6D67A57D" w:rsidR="00587727" w:rsidRDefault="00393342" w:rsidP="00075026">
      <w:pPr>
        <w:pStyle w:val="B1"/>
        <w:ind w:left="284" w:firstLine="0"/>
        <w:jc w:val="center"/>
        <w:rPr>
          <w:i/>
          <w:color w:val="2F5496" w:themeColor="accent1" w:themeShade="BF"/>
        </w:rPr>
      </w:pPr>
      <w:r w:rsidRPr="00852376">
        <w:rPr>
          <w:color w:val="FF0000"/>
          <w:position w:val="-14"/>
        </w:rPr>
        <w:object w:dxaOrig="3640" w:dyaOrig="400" w14:anchorId="0A168D22">
          <v:shape id="_x0000_i1036" type="#_x0000_t75" style="width:150.75pt;height:16.5pt" o:ole="">
            <v:imagedata r:id="rId33" o:title=""/>
          </v:shape>
          <o:OLEObject Type="Embed" ProgID="Equation.3" ShapeID="_x0000_i1036" DrawAspect="Content" ObjectID="_1577294069" r:id="rId34"/>
        </w:object>
      </w:r>
    </w:p>
    <w:bookmarkEnd w:id="2"/>
    <w:p w14:paraId="4BDDA67C" w14:textId="49EC2A59" w:rsidR="00587727" w:rsidRPr="00587727" w:rsidRDefault="00075026" w:rsidP="00587727">
      <w:pPr>
        <w:pStyle w:val="B1"/>
        <w:ind w:left="0" w:firstLine="0"/>
      </w:pPr>
      <w:r>
        <w:t>A</w:t>
      </w:r>
      <w:r w:rsidR="00640BE1">
        <w:t xml:space="preserve">s R always equals 2, the </w:t>
      </w:r>
      <w:r>
        <w:t>“</w:t>
      </w:r>
      <w:r w:rsidR="00640BE1">
        <w:t>second</w:t>
      </w:r>
      <w:r>
        <w:t>”</w:t>
      </w:r>
      <w:r w:rsidR="00640BE1">
        <w:t xml:space="preserve"> problem </w:t>
      </w:r>
      <w:r>
        <w:t xml:space="preserve">occurs if the number of resource-block bundles is odd. </w:t>
      </w:r>
      <w:r w:rsidR="00DE3CD5">
        <w:t xml:space="preserve">In that case, the maximum value of j will be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BWP,i</m:t>
                </m:r>
              </m:sub>
              <m:sup>
                <m: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/L</m:t>
            </m:r>
          </m:e>
        </m:d>
      </m:oMath>
      <w:r w:rsidR="00CC32E2">
        <w:t xml:space="preserve"> while the maximum “index” of resource block bundle</w:t>
      </w:r>
      <w:r w:rsidR="0080058C">
        <w:t>s</w:t>
      </w:r>
      <w:r w:rsidR="00CC32E2">
        <w:t xml:space="preserve"> will be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BWP,i</m:t>
                </m:r>
              </m:sub>
              <m:sup>
                <m: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/L</m:t>
            </m:r>
          </m:e>
        </m:d>
        <m:r>
          <w:rPr>
            <w:rFonts w:ascii="Cambria Math" w:hAnsi="Cambria Math"/>
          </w:rPr>
          <m:t>-1</m:t>
        </m:r>
      </m:oMath>
      <w:r w:rsidR="00CC32E2">
        <w:t>. This can be addressed by simply stating that the interleaving procedure is only valid f</w:t>
      </w:r>
      <w:r w:rsidR="00393342">
        <w:t>or</w:t>
      </w:r>
      <w:r w:rsidR="00CC32E2">
        <w:t xml:space="preserve"> </w:t>
      </w:r>
      <m:oMath>
        <m:r>
          <w:rPr>
            <w:rFonts w:ascii="Cambria Math" w:hAnsi="Cambria Math"/>
          </w:rPr>
          <m:t>j&lt;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BWP,i</m:t>
                </m:r>
              </m:sub>
              <m:sup>
                <m: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/L</m:t>
            </m:r>
          </m:e>
        </m:d>
      </m:oMath>
      <w:r w:rsidR="00CC32E2">
        <w:t xml:space="preserve">. Note that this </w:t>
      </w:r>
      <w:r w:rsidR="00CC32E2">
        <w:lastRenderedPageBreak/>
        <w:t>is identical to, for odd number of resource block bundles, append a dummy bundle before interleaving and the</w:t>
      </w:r>
      <w:r w:rsidR="00393342">
        <w:t>n</w:t>
      </w:r>
      <w:r w:rsidR="00CC32E2">
        <w:t xml:space="preserve"> remove it after interleaving. </w:t>
      </w:r>
    </w:p>
    <w:p w14:paraId="259464B9" w14:textId="467CC085" w:rsidR="00587727" w:rsidRDefault="00587727" w:rsidP="00E01144">
      <w:pPr>
        <w:rPr>
          <w:color w:val="000000" w:themeColor="text1"/>
        </w:rPr>
      </w:pPr>
    </w:p>
    <w:p w14:paraId="3AF2926C" w14:textId="1575F8EE" w:rsidR="00315B97" w:rsidRPr="00852376" w:rsidRDefault="00315B97" w:rsidP="00315B97">
      <w:pPr>
        <w:pStyle w:val="Heading1"/>
      </w:pPr>
      <w:r>
        <w:t>Proposal</w:t>
      </w:r>
    </w:p>
    <w:bookmarkEnd w:id="1"/>
    <w:p w14:paraId="053B21FB" w14:textId="6611F615" w:rsidR="00075026" w:rsidRPr="00E01144" w:rsidRDefault="00075026" w:rsidP="00075026">
      <w:r>
        <w:t>- - - - - - - - - - - - - - - - - - - Proposed text for  TS 38.211 - - - - - - - - - - - - - - - - - -  - - - - - - - - - - - - - - - - -</w:t>
      </w:r>
    </w:p>
    <w:p w14:paraId="3A4F7DDD" w14:textId="77777777" w:rsidR="0080058C" w:rsidRDefault="0080058C" w:rsidP="00075026">
      <w:pPr>
        <w:rPr>
          <w:rFonts w:ascii="Arial" w:hAnsi="Arial" w:cs="Arial"/>
          <w:color w:val="4472C4" w:themeColor="accent1"/>
          <w:sz w:val="22"/>
        </w:rPr>
      </w:pPr>
    </w:p>
    <w:p w14:paraId="48935DD8" w14:textId="5115544A" w:rsidR="00075026" w:rsidRPr="0080058C" w:rsidRDefault="0080058C" w:rsidP="00075026">
      <w:pPr>
        <w:rPr>
          <w:rFonts w:ascii="Arial" w:hAnsi="Arial" w:cs="Arial"/>
          <w:color w:val="2F5496" w:themeColor="accent1" w:themeShade="BF"/>
          <w:sz w:val="22"/>
        </w:rPr>
      </w:pPr>
      <w:r w:rsidRPr="0080058C">
        <w:rPr>
          <w:rFonts w:ascii="Arial" w:hAnsi="Arial" w:cs="Arial"/>
          <w:color w:val="2F5496" w:themeColor="accent1" w:themeShade="BF"/>
          <w:sz w:val="22"/>
        </w:rPr>
        <w:t>7.3.1.6</w:t>
      </w:r>
      <w:r w:rsidRPr="0080058C">
        <w:rPr>
          <w:rFonts w:ascii="Arial" w:hAnsi="Arial" w:cs="Arial"/>
          <w:color w:val="2F5496" w:themeColor="accent1" w:themeShade="BF"/>
          <w:sz w:val="22"/>
        </w:rPr>
        <w:tab/>
      </w:r>
      <w:r w:rsidRPr="0080058C">
        <w:rPr>
          <w:rFonts w:ascii="Arial" w:hAnsi="Arial" w:cs="Arial"/>
          <w:color w:val="2F5496" w:themeColor="accent1" w:themeShade="BF"/>
          <w:sz w:val="22"/>
        </w:rPr>
        <w:tab/>
        <w:t>Mapping from virtual to physical resource blocks</w:t>
      </w:r>
    </w:p>
    <w:p w14:paraId="58840221" w14:textId="77777777" w:rsidR="00075026" w:rsidRPr="00E01144" w:rsidRDefault="00075026" w:rsidP="00075026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The UE shall assume the virtual resource blocks are mapped to physical resource blocks according to the indicated mapping scheme, non-interleaved or interleaved mapping.</w:t>
      </w:r>
    </w:p>
    <w:p w14:paraId="5B52A3F2" w14:textId="77777777" w:rsidR="00075026" w:rsidRPr="00E01144" w:rsidRDefault="00075026" w:rsidP="00075026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 xml:space="preserve">For non-interleaved VRB-to-PRB mapping, virtual resource block </w:t>
      </w:r>
      <w:r w:rsidRPr="00E01144">
        <w:rPr>
          <w:color w:val="2F5496" w:themeColor="accent1" w:themeShade="BF"/>
          <w:position w:val="-6"/>
        </w:rPr>
        <w:object w:dxaOrig="180" w:dyaOrig="200" w14:anchorId="4376B184">
          <v:shape id="_x0000_i1037" type="#_x0000_t75" style="width:9pt;height:9.75pt" o:ole="">
            <v:imagedata r:id="rId14" o:title=""/>
          </v:shape>
          <o:OLEObject Type="Embed" ProgID="Equation.3" ShapeID="_x0000_i1037" DrawAspect="Content" ObjectID="_1577294070" r:id="rId35"/>
        </w:object>
      </w:r>
      <w:r w:rsidRPr="00E01144">
        <w:rPr>
          <w:color w:val="2F5496" w:themeColor="accent1" w:themeShade="BF"/>
        </w:rPr>
        <w:t xml:space="preserve"> is mapped to physical resource block </w:t>
      </w:r>
      <w:r w:rsidRPr="00E01144">
        <w:rPr>
          <w:color w:val="2F5496" w:themeColor="accent1" w:themeShade="BF"/>
          <w:position w:val="-6"/>
        </w:rPr>
        <w:object w:dxaOrig="180" w:dyaOrig="200" w14:anchorId="3B84F35D">
          <v:shape id="_x0000_i1038" type="#_x0000_t75" style="width:9pt;height:9.75pt" o:ole="">
            <v:imagedata r:id="rId14" o:title=""/>
          </v:shape>
          <o:OLEObject Type="Embed" ProgID="Equation.3" ShapeID="_x0000_i1038" DrawAspect="Content" ObjectID="_1577294071" r:id="rId36"/>
        </w:object>
      </w:r>
      <w:r w:rsidRPr="00E01144">
        <w:rPr>
          <w:color w:val="2F5496" w:themeColor="accent1" w:themeShade="BF"/>
        </w:rPr>
        <w:t>.</w:t>
      </w:r>
    </w:p>
    <w:p w14:paraId="0C6873B4" w14:textId="77777777" w:rsidR="00075026" w:rsidRPr="00E01144" w:rsidRDefault="00075026" w:rsidP="00075026">
      <w:pPr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For interleaved VRB-to-PRB mapping, the mapping process is defined in terms of resource block bundles:</w:t>
      </w:r>
    </w:p>
    <w:p w14:paraId="1E2B6C60" w14:textId="320D7B21" w:rsidR="00075026" w:rsidRPr="00E01144" w:rsidRDefault="00075026" w:rsidP="00075026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-</w:t>
      </w:r>
      <w:r w:rsidRPr="00E01144">
        <w:rPr>
          <w:color w:val="2F5496" w:themeColor="accent1" w:themeShade="BF"/>
        </w:rPr>
        <w:tab/>
        <w:t xml:space="preserve">Resource block bundle </w:t>
      </w:r>
      <w:r w:rsidRPr="00E01144">
        <w:rPr>
          <w:color w:val="2F5496" w:themeColor="accent1" w:themeShade="BF"/>
          <w:position w:val="-6"/>
        </w:rPr>
        <w:object w:dxaOrig="139" w:dyaOrig="240" w14:anchorId="76790B87">
          <v:shape id="_x0000_i1039" type="#_x0000_t75" style="width:6.75pt;height:12pt" o:ole="">
            <v:imagedata r:id="rId17" o:title=""/>
          </v:shape>
          <o:OLEObject Type="Embed" ProgID="Equation.3" ShapeID="_x0000_i1039" DrawAspect="Content" ObjectID="_1577294072" r:id="rId37"/>
        </w:object>
      </w:r>
      <w:r w:rsidRPr="00E01144">
        <w:rPr>
          <w:color w:val="2F5496" w:themeColor="accent1" w:themeShade="BF"/>
        </w:rPr>
        <w:t xml:space="preserve"> is defined as resource blocks  </w:t>
      </w:r>
      <w:r w:rsidR="00393342" w:rsidRPr="00075026">
        <w:rPr>
          <w:color w:val="FF0000"/>
          <w:position w:val="-14"/>
          <w:sz w:val="14"/>
        </w:rPr>
        <w:object w:dxaOrig="3660" w:dyaOrig="400" w14:anchorId="7EE9DF5E">
          <v:shape id="_x0000_i1040" type="#_x0000_t75" style="width:169.5pt;height:18.75pt" o:ole="">
            <v:imagedata r:id="rId38" o:title=""/>
          </v:shape>
          <o:OLEObject Type="Embed" ProgID="Equation.3" ShapeID="_x0000_i1040" DrawAspect="Content" ObjectID="_1577294073" r:id="rId39"/>
        </w:object>
      </w:r>
      <w:r>
        <w:rPr>
          <w:color w:val="FF0000"/>
        </w:rPr>
        <w:t xml:space="preserve"> </w:t>
      </w:r>
      <w:r w:rsidRPr="00E01144">
        <w:rPr>
          <w:color w:val="2F5496" w:themeColor="accent1" w:themeShade="BF"/>
        </w:rPr>
        <w:t xml:space="preserve">where </w:t>
      </w:r>
      <w:r w:rsidRPr="00E01144">
        <w:rPr>
          <w:color w:val="2F5496" w:themeColor="accent1" w:themeShade="BF"/>
          <w:position w:val="-4"/>
        </w:rPr>
        <w:object w:dxaOrig="200" w:dyaOrig="220" w14:anchorId="78D49A15">
          <v:shape id="_x0000_i1041" type="#_x0000_t75" style="width:9.75pt;height:11.25pt" o:ole="">
            <v:imagedata r:id="rId21" o:title=""/>
          </v:shape>
          <o:OLEObject Type="Embed" ProgID="Equation.3" ShapeID="_x0000_i1041" DrawAspect="Content" ObjectID="_1577294074" r:id="rId40"/>
        </w:object>
      </w:r>
      <w:r w:rsidRPr="00E01144">
        <w:rPr>
          <w:color w:val="2F5496" w:themeColor="accent1" w:themeShade="BF"/>
        </w:rPr>
        <w:t xml:space="preserve"> is the bundle size provided by the higher-layer parameter </w:t>
      </w:r>
      <w:r w:rsidRPr="00E01144">
        <w:rPr>
          <w:i/>
          <w:color w:val="2F5496" w:themeColor="accent1" w:themeShade="BF"/>
        </w:rPr>
        <w:t>VRB-to-PRB-interleaver</w:t>
      </w:r>
    </w:p>
    <w:p w14:paraId="02E96A42" w14:textId="2C939146" w:rsidR="00075026" w:rsidRPr="00E01144" w:rsidRDefault="00075026" w:rsidP="00075026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>-</w:t>
      </w:r>
      <w:r w:rsidRPr="00E01144">
        <w:rPr>
          <w:color w:val="2F5496" w:themeColor="accent1" w:themeShade="BF"/>
        </w:rPr>
        <w:tab/>
      </w:r>
      <w:r w:rsidR="0080058C">
        <w:rPr>
          <w:color w:val="2F5496" w:themeColor="accent1" w:themeShade="BF"/>
        </w:rPr>
        <w:t xml:space="preserve">For </w:t>
      </w:r>
      <w:r w:rsidR="0080058C" w:rsidRPr="00393342">
        <w:rPr>
          <w:color w:val="4472C4" w:themeColor="accent1"/>
        </w:rPr>
        <w:t xml:space="preserve">for </w:t>
      </w:r>
      <m:oMath>
        <m:r>
          <w:rPr>
            <w:rFonts w:ascii="Cambria Math" w:hAnsi="Cambria Math"/>
          </w:rPr>
          <m:t>j&lt;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BWP,i</m:t>
                </m:r>
              </m:sub>
              <m:sup>
                <m:r>
                  <w:rPr>
                    <w:rFonts w:ascii="Cambria Math" w:hAnsi="Cambria Math"/>
                  </w:rPr>
                  <m:t>size</m:t>
                </m:r>
              </m:sup>
            </m:sSubSup>
            <m:r>
              <w:rPr>
                <w:rFonts w:ascii="Cambria Math" w:hAnsi="Cambria Math"/>
              </w:rPr>
              <m:t>/L</m:t>
            </m:r>
          </m:e>
        </m:d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,</m:t>
        </m:r>
      </m:oMath>
      <w:r w:rsidR="0080058C">
        <w:t xml:space="preserve"> </w:t>
      </w:r>
      <w:r w:rsidR="0080058C">
        <w:rPr>
          <w:color w:val="2F5496" w:themeColor="accent1" w:themeShade="BF"/>
        </w:rPr>
        <w:t>v</w:t>
      </w:r>
      <w:bookmarkStart w:id="3" w:name="_GoBack"/>
      <w:bookmarkEnd w:id="3"/>
      <w:r w:rsidR="0080058C">
        <w:rPr>
          <w:color w:val="2F5496" w:themeColor="accent1" w:themeShade="BF"/>
        </w:rPr>
        <w:t>v</w:t>
      </w:r>
      <w:r w:rsidRPr="00E01144">
        <w:rPr>
          <w:color w:val="2F5496" w:themeColor="accent1" w:themeShade="BF"/>
        </w:rPr>
        <w:t xml:space="preserve">irtual resource block bundle </w:t>
      </w:r>
      <w:r w:rsidRPr="00E01144">
        <w:rPr>
          <w:color w:val="2F5496" w:themeColor="accent1" w:themeShade="BF"/>
          <w:position w:val="-10"/>
        </w:rPr>
        <w:object w:dxaOrig="180" w:dyaOrig="279" w14:anchorId="0F2800AF">
          <v:shape id="_x0000_i1042" type="#_x0000_t75" style="width:9pt;height:14.25pt" o:ole="">
            <v:imagedata r:id="rId23" o:title=""/>
          </v:shape>
          <o:OLEObject Type="Embed" ProgID="Equation.3" ShapeID="_x0000_i1042" DrawAspect="Content" ObjectID="_1577294075" r:id="rId41"/>
        </w:object>
      </w:r>
      <w:r w:rsidRPr="00E01144">
        <w:rPr>
          <w:color w:val="2F5496" w:themeColor="accent1" w:themeShade="BF"/>
        </w:rPr>
        <w:t xml:space="preserve"> is mapped to physical resource block bundle </w:t>
      </w:r>
      <w:r w:rsidRPr="00E01144">
        <w:rPr>
          <w:color w:val="2F5496" w:themeColor="accent1" w:themeShade="BF"/>
          <w:position w:val="-10"/>
        </w:rPr>
        <w:object w:dxaOrig="440" w:dyaOrig="300" w14:anchorId="0CAEE02A">
          <v:shape id="_x0000_i1043" type="#_x0000_t75" style="width:21.75pt;height:15pt" o:ole="">
            <v:imagedata r:id="rId25" o:title=""/>
          </v:shape>
          <o:OLEObject Type="Embed" ProgID="Equation.3" ShapeID="_x0000_i1043" DrawAspect="Content" ObjectID="_1577294076" r:id="rId42"/>
        </w:object>
      </w:r>
      <w:r w:rsidRPr="00E01144">
        <w:rPr>
          <w:color w:val="2F5496" w:themeColor="accent1" w:themeShade="BF"/>
        </w:rPr>
        <w:t xml:space="preserve"> where </w:t>
      </w:r>
    </w:p>
    <w:p w14:paraId="4F9E0F1D" w14:textId="77777777" w:rsidR="00075026" w:rsidRPr="00E01144" w:rsidRDefault="00075026" w:rsidP="00075026">
      <w:pPr>
        <w:pStyle w:val="EQ"/>
        <w:jc w:val="center"/>
        <w:rPr>
          <w:color w:val="2F5496" w:themeColor="accent1" w:themeShade="BF"/>
        </w:rPr>
      </w:pPr>
      <w:r w:rsidRPr="00E01144">
        <w:rPr>
          <w:color w:val="2F5496" w:themeColor="accent1" w:themeShade="BF"/>
          <w:position w:val="-88"/>
        </w:rPr>
        <w:object w:dxaOrig="1560" w:dyaOrig="1860" w14:anchorId="2BDA73A4">
          <v:shape id="_x0000_i1044" type="#_x0000_t75" style="width:78pt;height:93pt" o:ole="">
            <v:imagedata r:id="rId27" o:title=""/>
          </v:shape>
          <o:OLEObject Type="Embed" ProgID="Equation.3" ShapeID="_x0000_i1044" DrawAspect="Content" ObjectID="_1577294077" r:id="rId43"/>
        </w:object>
      </w:r>
    </w:p>
    <w:p w14:paraId="7DB69AA9" w14:textId="1C0EE590" w:rsidR="00075026" w:rsidRDefault="00075026" w:rsidP="00CC32E2">
      <w:pPr>
        <w:pStyle w:val="B1"/>
        <w:rPr>
          <w:color w:val="2F5496" w:themeColor="accent1" w:themeShade="BF"/>
        </w:rPr>
      </w:pPr>
      <w:r w:rsidRPr="00E01144">
        <w:rPr>
          <w:color w:val="2F5496" w:themeColor="accent1" w:themeShade="BF"/>
        </w:rPr>
        <w:tab/>
      </w:r>
      <w:r w:rsidR="00393342">
        <w:rPr>
          <w:color w:val="2F5496" w:themeColor="accent1" w:themeShade="BF"/>
        </w:rPr>
        <w:t xml:space="preserve">with </w:t>
      </w:r>
      <w:r w:rsidRPr="00CC32E2">
        <w:rPr>
          <w:color w:val="4472C4" w:themeColor="accent1"/>
        </w:rPr>
        <w:t xml:space="preserve"> </w:t>
      </w:r>
      <w:r w:rsidRPr="00E01144">
        <w:rPr>
          <w:color w:val="2F5496" w:themeColor="accent1" w:themeShade="BF"/>
          <w:position w:val="-12"/>
        </w:rPr>
        <w:object w:dxaOrig="620" w:dyaOrig="360" w14:anchorId="76931FE2">
          <v:shape id="_x0000_i1045" type="#_x0000_t75" style="width:30.75pt;height:18pt" o:ole="">
            <v:imagedata r:id="rId29" o:title=""/>
          </v:shape>
          <o:OLEObject Type="Embed" ProgID="Equation.3" ShapeID="_x0000_i1045" DrawAspect="Content" ObjectID="_1577294078" r:id="rId44"/>
        </w:object>
      </w:r>
      <w:r w:rsidR="00393342">
        <w:rPr>
          <w:color w:val="2F5496" w:themeColor="accent1" w:themeShade="BF"/>
        </w:rPr>
        <w:t xml:space="preserve"> representing</w:t>
      </w:r>
      <w:r w:rsidR="00CC32E2">
        <w:rPr>
          <w:color w:val="2F5496" w:themeColor="accent1" w:themeShade="BF"/>
        </w:rPr>
        <w:t xml:space="preserve"> the</w:t>
      </w:r>
      <w:r w:rsidRPr="00E01144">
        <w:rPr>
          <w:color w:val="2F5496" w:themeColor="accent1" w:themeShade="BF"/>
        </w:rPr>
        <w:t xml:space="preserve"> size of the carrier bandwidth part in which the PDSCH is transmitted.</w:t>
      </w:r>
    </w:p>
    <w:p w14:paraId="61582F0B" w14:textId="77777777" w:rsidR="00075026" w:rsidRPr="00075026" w:rsidRDefault="00075026" w:rsidP="00075026">
      <w:pPr>
        <w:pStyle w:val="B1"/>
        <w:ind w:left="0" w:firstLine="0"/>
        <w:rPr>
          <w:color w:val="2F5496" w:themeColor="accent1" w:themeShade="BF"/>
        </w:rPr>
      </w:pPr>
      <w:r>
        <w:t>- - - - - - - - - - - - - - - - - - - - - - - - - - - - - - - - - - - - - - - - - - - - - - - - - - - - - -  - - - - - - - - - - - - - - - - -</w:t>
      </w:r>
    </w:p>
    <w:p w14:paraId="7C4CE156" w14:textId="1CCB3B10" w:rsidR="00852376" w:rsidRPr="00852376" w:rsidRDefault="00852376" w:rsidP="00E01144">
      <w:pPr>
        <w:rPr>
          <w:color w:val="000000" w:themeColor="text1"/>
        </w:rPr>
      </w:pPr>
    </w:p>
    <w:sectPr w:rsidR="00852376" w:rsidRPr="00852376">
      <w:headerReference w:type="even" r:id="rId45"/>
      <w:foot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3C64E" w14:textId="77777777" w:rsidR="00E42E5F" w:rsidRDefault="00E42E5F">
      <w:r>
        <w:separator/>
      </w:r>
    </w:p>
  </w:endnote>
  <w:endnote w:type="continuationSeparator" w:id="0">
    <w:p w14:paraId="18295CCA" w14:textId="77777777" w:rsidR="00E42E5F" w:rsidRDefault="00E4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57F655B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2E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2E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DFDCE" w14:textId="77777777" w:rsidR="00E42E5F" w:rsidRDefault="00E42E5F">
      <w:r>
        <w:separator/>
      </w:r>
    </w:p>
  </w:footnote>
  <w:footnote w:type="continuationSeparator" w:id="0">
    <w:p w14:paraId="2B2CBF24" w14:textId="77777777" w:rsidR="00E42E5F" w:rsidRDefault="00E42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BA7AB6"/>
    <w:multiLevelType w:val="hybridMultilevel"/>
    <w:tmpl w:val="293407D4"/>
    <w:lvl w:ilvl="0" w:tplc="C51435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203238"/>
    <w:multiLevelType w:val="hybridMultilevel"/>
    <w:tmpl w:val="058C0F6E"/>
    <w:lvl w:ilvl="0" w:tplc="6C927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03109"/>
    <w:multiLevelType w:val="hybridMultilevel"/>
    <w:tmpl w:val="BB789B8A"/>
    <w:lvl w:ilvl="0" w:tplc="47DE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15996"/>
    <w:multiLevelType w:val="hybridMultilevel"/>
    <w:tmpl w:val="13E46CB8"/>
    <w:lvl w:ilvl="0" w:tplc="47DE6448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7AAC74F0"/>
    <w:multiLevelType w:val="hybridMultilevel"/>
    <w:tmpl w:val="BA18B0F8"/>
    <w:lvl w:ilvl="0" w:tplc="99CEE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7"/>
  </w:num>
  <w:num w:numId="6">
    <w:abstractNumId w:val="23"/>
  </w:num>
  <w:num w:numId="7">
    <w:abstractNumId w:val="27"/>
  </w:num>
  <w:num w:numId="8">
    <w:abstractNumId w:val="18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7"/>
  </w:num>
  <w:num w:numId="19">
    <w:abstractNumId w:val="20"/>
  </w:num>
  <w:num w:numId="20">
    <w:abstractNumId w:val="10"/>
  </w:num>
  <w:num w:numId="21">
    <w:abstractNumId w:val="12"/>
  </w:num>
  <w:num w:numId="22">
    <w:abstractNumId w:val="33"/>
  </w:num>
  <w:num w:numId="23">
    <w:abstractNumId w:val="19"/>
  </w:num>
  <w:num w:numId="24">
    <w:abstractNumId w:val="34"/>
  </w:num>
  <w:num w:numId="25">
    <w:abstractNumId w:val="35"/>
  </w:num>
  <w:num w:numId="26">
    <w:abstractNumId w:val="38"/>
  </w:num>
  <w:num w:numId="27">
    <w:abstractNumId w:val="29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6"/>
  </w:num>
  <w:num w:numId="31">
    <w:abstractNumId w:val="32"/>
  </w:num>
  <w:num w:numId="32">
    <w:abstractNumId w:val="14"/>
  </w:num>
  <w:num w:numId="33">
    <w:abstractNumId w:val="9"/>
  </w:num>
  <w:num w:numId="34">
    <w:abstractNumId w:val="24"/>
  </w:num>
  <w:num w:numId="35">
    <w:abstractNumId w:val="31"/>
  </w:num>
  <w:num w:numId="36">
    <w:abstractNumId w:val="28"/>
  </w:num>
  <w:num w:numId="37">
    <w:abstractNumId w:val="30"/>
  </w:num>
  <w:num w:numId="38">
    <w:abstractNumId w:val="36"/>
  </w:num>
  <w:num w:numId="39">
    <w:abstractNumId w:val="5"/>
  </w:num>
  <w:num w:numId="40">
    <w:abstractNumId w:val="8"/>
  </w:num>
  <w:num w:numId="41">
    <w:abstractNumId w:val="11"/>
  </w:num>
  <w:num w:numId="42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5A68"/>
    <w:rsid w:val="0005606A"/>
    <w:rsid w:val="00057117"/>
    <w:rsid w:val="000614F2"/>
    <w:rsid w:val="000616E7"/>
    <w:rsid w:val="00063293"/>
    <w:rsid w:val="00063F78"/>
    <w:rsid w:val="0006487E"/>
    <w:rsid w:val="00065E1A"/>
    <w:rsid w:val="00067C61"/>
    <w:rsid w:val="00075026"/>
    <w:rsid w:val="00076978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68BA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588"/>
    <w:rsid w:val="000E0527"/>
    <w:rsid w:val="000E1E92"/>
    <w:rsid w:val="000F0641"/>
    <w:rsid w:val="000F06D6"/>
    <w:rsid w:val="000F0BAA"/>
    <w:rsid w:val="000F0EB1"/>
    <w:rsid w:val="000F1106"/>
    <w:rsid w:val="000F1A1E"/>
    <w:rsid w:val="000F3BE9"/>
    <w:rsid w:val="000F3F6C"/>
    <w:rsid w:val="000F5BB3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5A22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84A"/>
    <w:rsid w:val="00135D20"/>
    <w:rsid w:val="00137AB5"/>
    <w:rsid w:val="00137F0B"/>
    <w:rsid w:val="00143E6D"/>
    <w:rsid w:val="00151E23"/>
    <w:rsid w:val="001521A7"/>
    <w:rsid w:val="001526E0"/>
    <w:rsid w:val="00153C86"/>
    <w:rsid w:val="001551B5"/>
    <w:rsid w:val="001659C1"/>
    <w:rsid w:val="00166BA5"/>
    <w:rsid w:val="00173A8E"/>
    <w:rsid w:val="00177795"/>
    <w:rsid w:val="00180DFD"/>
    <w:rsid w:val="0018143F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5B97"/>
    <w:rsid w:val="00316FA6"/>
    <w:rsid w:val="003203ED"/>
    <w:rsid w:val="00322C9F"/>
    <w:rsid w:val="00324D23"/>
    <w:rsid w:val="00324E89"/>
    <w:rsid w:val="00331751"/>
    <w:rsid w:val="00334579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6A8"/>
    <w:rsid w:val="00377CE1"/>
    <w:rsid w:val="00385BF0"/>
    <w:rsid w:val="00393342"/>
    <w:rsid w:val="003939FF"/>
    <w:rsid w:val="003A2223"/>
    <w:rsid w:val="003A2A0F"/>
    <w:rsid w:val="003A45A1"/>
    <w:rsid w:val="003A5B0A"/>
    <w:rsid w:val="003A6BAC"/>
    <w:rsid w:val="003A7EF3"/>
    <w:rsid w:val="003B08AC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E777B"/>
    <w:rsid w:val="003F05C7"/>
    <w:rsid w:val="003F2CD4"/>
    <w:rsid w:val="003F6BBE"/>
    <w:rsid w:val="004000E8"/>
    <w:rsid w:val="004010FC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116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22A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9083E"/>
    <w:rsid w:val="00492BC5"/>
    <w:rsid w:val="00495FE7"/>
    <w:rsid w:val="004964F1"/>
    <w:rsid w:val="00496A6E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1B30"/>
    <w:rsid w:val="00502C3A"/>
    <w:rsid w:val="00506557"/>
    <w:rsid w:val="0050677A"/>
    <w:rsid w:val="005108D8"/>
    <w:rsid w:val="005116F9"/>
    <w:rsid w:val="005153A7"/>
    <w:rsid w:val="00515EA7"/>
    <w:rsid w:val="005219CF"/>
    <w:rsid w:val="00534B59"/>
    <w:rsid w:val="005358A6"/>
    <w:rsid w:val="0053592F"/>
    <w:rsid w:val="00536759"/>
    <w:rsid w:val="00537C62"/>
    <w:rsid w:val="00542F3F"/>
    <w:rsid w:val="00545572"/>
    <w:rsid w:val="00546970"/>
    <w:rsid w:val="00547F4D"/>
    <w:rsid w:val="00550419"/>
    <w:rsid w:val="005548F9"/>
    <w:rsid w:val="00554E19"/>
    <w:rsid w:val="00555F97"/>
    <w:rsid w:val="0056121F"/>
    <w:rsid w:val="00572381"/>
    <w:rsid w:val="00572505"/>
    <w:rsid w:val="00572511"/>
    <w:rsid w:val="00574C3C"/>
    <w:rsid w:val="005776D2"/>
    <w:rsid w:val="00582809"/>
    <w:rsid w:val="005871B6"/>
    <w:rsid w:val="00587727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495"/>
    <w:rsid w:val="005D3413"/>
    <w:rsid w:val="005D5368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26CED"/>
    <w:rsid w:val="00630001"/>
    <w:rsid w:val="006311B3"/>
    <w:rsid w:val="0063284C"/>
    <w:rsid w:val="00636398"/>
    <w:rsid w:val="006368D3"/>
    <w:rsid w:val="006377EC"/>
    <w:rsid w:val="00640BE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582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8E2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48B1"/>
    <w:rsid w:val="007362A6"/>
    <w:rsid w:val="00736D7D"/>
    <w:rsid w:val="00737805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2E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058C"/>
    <w:rsid w:val="008027FB"/>
    <w:rsid w:val="00803FAE"/>
    <w:rsid w:val="0080605F"/>
    <w:rsid w:val="00807786"/>
    <w:rsid w:val="00811FCB"/>
    <w:rsid w:val="00813B13"/>
    <w:rsid w:val="008158D6"/>
    <w:rsid w:val="00815AA2"/>
    <w:rsid w:val="00817196"/>
    <w:rsid w:val="0082277F"/>
    <w:rsid w:val="00823382"/>
    <w:rsid w:val="008235DB"/>
    <w:rsid w:val="0082487C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2376"/>
    <w:rsid w:val="00856911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49E9"/>
    <w:rsid w:val="00875CD7"/>
    <w:rsid w:val="00876B4D"/>
    <w:rsid w:val="00877F18"/>
    <w:rsid w:val="0088485F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11A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389C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563A"/>
    <w:rsid w:val="009368F3"/>
    <w:rsid w:val="00941636"/>
    <w:rsid w:val="00943742"/>
    <w:rsid w:val="0094392D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430A"/>
    <w:rsid w:val="0096554B"/>
    <w:rsid w:val="0096584A"/>
    <w:rsid w:val="00967A48"/>
    <w:rsid w:val="00971F08"/>
    <w:rsid w:val="0097603D"/>
    <w:rsid w:val="0097687F"/>
    <w:rsid w:val="00976949"/>
    <w:rsid w:val="00980477"/>
    <w:rsid w:val="00985253"/>
    <w:rsid w:val="009853B3"/>
    <w:rsid w:val="009854FD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47C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E7EE8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0B7E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67DE"/>
    <w:rsid w:val="00A87A8A"/>
    <w:rsid w:val="00A92879"/>
    <w:rsid w:val="00A9442A"/>
    <w:rsid w:val="00AA016F"/>
    <w:rsid w:val="00AA1ED6"/>
    <w:rsid w:val="00AA51D6"/>
    <w:rsid w:val="00AA75FE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162B0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54C82"/>
    <w:rsid w:val="00B6188F"/>
    <w:rsid w:val="00B61CB5"/>
    <w:rsid w:val="00B664C7"/>
    <w:rsid w:val="00B67F5D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E7BD0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0983"/>
    <w:rsid w:val="00C11283"/>
    <w:rsid w:val="00C12107"/>
    <w:rsid w:val="00C14D4B"/>
    <w:rsid w:val="00C154BB"/>
    <w:rsid w:val="00C16F37"/>
    <w:rsid w:val="00C279B5"/>
    <w:rsid w:val="00C27C45"/>
    <w:rsid w:val="00C3185E"/>
    <w:rsid w:val="00C3719D"/>
    <w:rsid w:val="00C46714"/>
    <w:rsid w:val="00C54995"/>
    <w:rsid w:val="00C54D41"/>
    <w:rsid w:val="00C60783"/>
    <w:rsid w:val="00C64672"/>
    <w:rsid w:val="00C651F8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A2C42"/>
    <w:rsid w:val="00CB1F63"/>
    <w:rsid w:val="00CB7170"/>
    <w:rsid w:val="00CC040E"/>
    <w:rsid w:val="00CC111F"/>
    <w:rsid w:val="00CC2011"/>
    <w:rsid w:val="00CC32E2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318F"/>
    <w:rsid w:val="00D438BF"/>
    <w:rsid w:val="00D440F8"/>
    <w:rsid w:val="00D454E3"/>
    <w:rsid w:val="00D45920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3247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38BD"/>
    <w:rsid w:val="00D939E6"/>
    <w:rsid w:val="00D9521F"/>
    <w:rsid w:val="00D97C29"/>
    <w:rsid w:val="00DA0F8A"/>
    <w:rsid w:val="00DA305E"/>
    <w:rsid w:val="00DA5417"/>
    <w:rsid w:val="00DA56E8"/>
    <w:rsid w:val="00DB0A9F"/>
    <w:rsid w:val="00DB377D"/>
    <w:rsid w:val="00DB7B7E"/>
    <w:rsid w:val="00DC2D36"/>
    <w:rsid w:val="00DC53EF"/>
    <w:rsid w:val="00DD5387"/>
    <w:rsid w:val="00DE3CD5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1144"/>
    <w:rsid w:val="00E04FBE"/>
    <w:rsid w:val="00E110E7"/>
    <w:rsid w:val="00E11333"/>
    <w:rsid w:val="00E11B20"/>
    <w:rsid w:val="00E17FA2"/>
    <w:rsid w:val="00E22330"/>
    <w:rsid w:val="00E30B5A"/>
    <w:rsid w:val="00E3123D"/>
    <w:rsid w:val="00E31461"/>
    <w:rsid w:val="00E31D43"/>
    <w:rsid w:val="00E322D8"/>
    <w:rsid w:val="00E32608"/>
    <w:rsid w:val="00E34188"/>
    <w:rsid w:val="00E34B6E"/>
    <w:rsid w:val="00E35559"/>
    <w:rsid w:val="00E35BF8"/>
    <w:rsid w:val="00E3723A"/>
    <w:rsid w:val="00E37860"/>
    <w:rsid w:val="00E42E5F"/>
    <w:rsid w:val="00E446F1"/>
    <w:rsid w:val="00E46886"/>
    <w:rsid w:val="00E47AEF"/>
    <w:rsid w:val="00E53B75"/>
    <w:rsid w:val="00E54E3B"/>
    <w:rsid w:val="00E56496"/>
    <w:rsid w:val="00E57565"/>
    <w:rsid w:val="00E63838"/>
    <w:rsid w:val="00E64434"/>
    <w:rsid w:val="00E660D3"/>
    <w:rsid w:val="00E67BD9"/>
    <w:rsid w:val="00E67C5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BF6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A00E62CE-9D4C-4759-A1B1-49F8FC757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uiPriority w:val="99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  <w:style w:type="character" w:customStyle="1" w:styleId="B10">
    <w:name w:val="B1 (文字)"/>
    <w:link w:val="B1"/>
    <w:uiPriority w:val="99"/>
    <w:locked/>
    <w:rsid w:val="00E01144"/>
    <w:rPr>
      <w:rFonts w:ascii="Times New Roman" w:hAnsi="Times New Roman"/>
      <w:lang w:val="en-GB" w:eastAsia="en-US"/>
    </w:rPr>
  </w:style>
  <w:style w:type="paragraph" w:customStyle="1" w:styleId="RAN1bullet2">
    <w:name w:val="RAN1 bullet2"/>
    <w:basedOn w:val="Normal"/>
    <w:qFormat/>
    <w:rsid w:val="00E01144"/>
    <w:pPr>
      <w:numPr>
        <w:ilvl w:val="1"/>
        <w:numId w:val="39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E3C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image" Target="media/image10.wmf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F545271-9A34-4912-B846-21D89B4D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1299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Ericsson</vt:lpstr>
      <vt:lpstr>Discussion</vt:lpstr>
      <vt:lpstr>Proposal</vt:lpstr>
    </vt:vector>
  </TitlesOfParts>
  <Company>Ericsson</Company>
  <LinksUpToDate>false</LinksUpToDate>
  <CharactersWithSpaces>4153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dc:description/>
  <cp:lastModifiedBy>Erik Dahlman</cp:lastModifiedBy>
  <cp:revision>8</cp:revision>
  <cp:lastPrinted>2018-01-12T11:08:00Z</cp:lastPrinted>
  <dcterms:created xsi:type="dcterms:W3CDTF">2017-11-16T10:48:00Z</dcterms:created>
  <dcterms:modified xsi:type="dcterms:W3CDTF">2018-01-12T19:27:00Z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